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0"/>
        <w:gridCol w:w="1089"/>
        <w:gridCol w:w="978"/>
        <w:gridCol w:w="2109"/>
        <w:gridCol w:w="91"/>
        <w:gridCol w:w="3304"/>
        <w:gridCol w:w="420"/>
        <w:gridCol w:w="1387"/>
      </w:tblGrid>
      <w:tr w:rsidR="004210A2" w:rsidRPr="009A4B5F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bCs/>
                <w:lang w:val="sr-Cyrl-CS"/>
              </w:rPr>
            </w:pPr>
            <w:r w:rsidRPr="009A4B5F">
              <w:rPr>
                <w:bCs/>
                <w:lang w:val="sr-Cyrl-CS"/>
              </w:rPr>
              <w:t>Студијски програм</w:t>
            </w:r>
            <w:r w:rsidRPr="009A4B5F">
              <w:rPr>
                <w:bCs/>
                <w:lang w:val="ru-RU"/>
              </w:rPr>
              <w:t>/студијски програми</w:t>
            </w:r>
            <w:r w:rsidRPr="009A4B5F">
              <w:rPr>
                <w:bCs/>
              </w:rPr>
              <w:t>:</w:t>
            </w:r>
            <w:r w:rsidRPr="009A4B5F">
              <w:rPr>
                <w:bCs/>
                <w:lang w:val="sr-Cyrl-CS"/>
              </w:rPr>
              <w:t xml:space="preserve"> Мастер учитељ</w:t>
            </w:r>
          </w:p>
        </w:tc>
      </w:tr>
      <w:tr w:rsidR="004210A2" w:rsidRPr="009A4B5F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bCs/>
                <w:lang w:val="sr-Cyrl-CS"/>
              </w:rPr>
            </w:pPr>
            <w:r w:rsidRPr="009A4B5F">
              <w:rPr>
                <w:lang w:val="sr-Cyrl-CS"/>
              </w:rPr>
              <w:t xml:space="preserve">Врста </w:t>
            </w:r>
            <w:r w:rsidRPr="009A4B5F">
              <w:rPr>
                <w:lang w:val="ru-RU"/>
              </w:rPr>
              <w:t xml:space="preserve">и ниво студија: </w:t>
            </w:r>
            <w:r w:rsidRPr="009A4B5F">
              <w:rPr>
                <w:lang w:val="sr-Cyrl-CS"/>
              </w:rPr>
              <w:t>Мастер академске студије</w:t>
            </w:r>
          </w:p>
        </w:tc>
      </w:tr>
      <w:tr w:rsidR="004210A2" w:rsidRPr="008E3E6E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8E3E6E" w:rsidRDefault="004210A2" w:rsidP="00775DE7">
            <w:pPr>
              <w:pStyle w:val="Heading3"/>
            </w:pPr>
            <w:bookmarkStart w:id="0" w:name="_Toc365528487"/>
            <w:r w:rsidRPr="008E3E6E">
              <w:rPr>
                <w:bCs w:val="0"/>
                <w:lang w:val="sr-Cyrl-CS"/>
              </w:rPr>
              <w:t xml:space="preserve">Назив предмета: </w:t>
            </w:r>
            <w:r w:rsidRPr="008E3E6E">
              <w:rPr>
                <w:lang w:val="sr-Cyrl-CS"/>
              </w:rPr>
              <w:t>Методика елементарних и спортских игара</w:t>
            </w:r>
            <w:bookmarkEnd w:id="0"/>
          </w:p>
        </w:tc>
      </w:tr>
      <w:tr w:rsidR="004210A2" w:rsidRPr="009A4B5F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b/>
                <w:bCs/>
                <w:lang w:val="sr-Cyrl-CS"/>
              </w:rPr>
            </w:pPr>
            <w:r w:rsidRPr="009A4B5F">
              <w:rPr>
                <w:b/>
                <w:bCs/>
                <w:lang w:val="sr-Cyrl-CS"/>
              </w:rPr>
              <w:t>Наставник</w:t>
            </w:r>
            <w:r w:rsidRPr="009A4B5F">
              <w:rPr>
                <w:b/>
                <w:bCs/>
                <w:lang w:val="ru-RU"/>
              </w:rPr>
              <w:t xml:space="preserve"> (</w:t>
            </w:r>
            <w:r w:rsidRPr="009A4B5F">
              <w:rPr>
                <w:lang w:val="sr-Cyrl-CS"/>
              </w:rPr>
              <w:t>Име, средње слово, презиме</w:t>
            </w:r>
            <w:r w:rsidRPr="009A4B5F">
              <w:rPr>
                <w:lang w:val="ru-RU"/>
              </w:rPr>
              <w:t>)</w:t>
            </w:r>
            <w:r w:rsidRPr="009A4B5F">
              <w:rPr>
                <w:b/>
                <w:bCs/>
                <w:lang w:val="sr-Cyrl-CS"/>
              </w:rPr>
              <w:t xml:space="preserve">: </w:t>
            </w:r>
            <w:r w:rsidRPr="00953709">
              <w:rPr>
                <w:b/>
                <w:bCs/>
                <w:lang w:val="sr-Cyrl-CS"/>
              </w:rPr>
              <w:t>Живорад М. Марковић</w:t>
            </w:r>
          </w:p>
        </w:tc>
      </w:tr>
      <w:tr w:rsidR="004210A2" w:rsidRPr="009A4B5F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r w:rsidRPr="009A4B5F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4210A2" w:rsidRPr="009A4B5F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lang w:val="sr-Cyrl-CS"/>
              </w:rPr>
            </w:pPr>
            <w:r w:rsidRPr="009A4B5F">
              <w:rPr>
                <w:bCs/>
                <w:lang w:val="sr-Cyrl-CS"/>
              </w:rPr>
              <w:t>Број ЕСПБ</w:t>
            </w:r>
            <w:r w:rsidRPr="009A4B5F">
              <w:rPr>
                <w:bCs/>
              </w:rPr>
              <w:t>:</w:t>
            </w:r>
            <w:r w:rsidRPr="009A4B5F">
              <w:rPr>
                <w:bCs/>
                <w:lang w:val="sr-Cyrl-CS"/>
              </w:rPr>
              <w:t xml:space="preserve"> 6</w:t>
            </w:r>
          </w:p>
        </w:tc>
      </w:tr>
      <w:tr w:rsidR="004210A2" w:rsidRPr="009A4B5F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lang w:val="sr-Cyrl-CS"/>
              </w:rPr>
            </w:pPr>
            <w:r w:rsidRPr="009A4B5F">
              <w:rPr>
                <w:bCs/>
                <w:lang w:val="sr-Cyrl-CS"/>
              </w:rPr>
              <w:t>Услов</w:t>
            </w:r>
            <w:r w:rsidRPr="009A4B5F">
              <w:rPr>
                <w:bCs/>
              </w:rPr>
              <w:t>:</w:t>
            </w:r>
            <w:r w:rsidRPr="009A4B5F">
              <w:rPr>
                <w:bCs/>
                <w:lang w:val="sr-Cyrl-CS"/>
              </w:rPr>
              <w:t xml:space="preserve"> /</w:t>
            </w:r>
          </w:p>
        </w:tc>
      </w:tr>
      <w:tr w:rsidR="004210A2" w:rsidRPr="009A4B5F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jc w:val="both"/>
              <w:rPr>
                <w:b/>
                <w:bCs/>
                <w:lang w:val="sr-Cyrl-CS"/>
              </w:rPr>
            </w:pPr>
            <w:r w:rsidRPr="009A4B5F">
              <w:rPr>
                <w:b/>
                <w:bCs/>
                <w:lang w:val="sr-Cyrl-CS"/>
              </w:rPr>
              <w:t>Циљ предмета</w:t>
            </w:r>
          </w:p>
          <w:p w:rsidR="004210A2" w:rsidRPr="009A4B5F" w:rsidRDefault="004210A2" w:rsidP="00775DE7">
            <w:pPr>
              <w:jc w:val="both"/>
              <w:rPr>
                <w:b/>
                <w:bCs/>
                <w:lang w:val="sr-Cyrl-CS"/>
              </w:rPr>
            </w:pPr>
            <w:r w:rsidRPr="009A4B5F">
              <w:rPr>
                <w:lang w:val="sr-Cyrl-CS"/>
              </w:rPr>
              <w:t>Усвајање основних</w:t>
            </w:r>
            <w:r w:rsidRPr="009A4B5F">
              <w:t xml:space="preserve"> </w:t>
            </w:r>
            <w:r w:rsidRPr="009A4B5F">
              <w:rPr>
                <w:lang w:val="sr-Cyrl-CS"/>
              </w:rPr>
              <w:t>варијанти елементарних игара и основних техничких елемената - спортова применљивих у раду са основношколским узрастом.</w:t>
            </w:r>
          </w:p>
        </w:tc>
      </w:tr>
      <w:tr w:rsidR="004210A2" w:rsidRPr="009A4B5F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jc w:val="both"/>
              <w:rPr>
                <w:b/>
                <w:bCs/>
                <w:lang w:val="sr-Cyrl-CS"/>
              </w:rPr>
            </w:pPr>
            <w:r w:rsidRPr="009A4B5F">
              <w:rPr>
                <w:b/>
                <w:bCs/>
                <w:lang w:val="sr-Cyrl-CS"/>
              </w:rPr>
              <w:t xml:space="preserve">Исход предмета </w:t>
            </w:r>
          </w:p>
          <w:p w:rsidR="004210A2" w:rsidRPr="009A4B5F" w:rsidRDefault="004210A2" w:rsidP="00775DE7">
            <w:pPr>
              <w:jc w:val="both"/>
              <w:rPr>
                <w:lang w:val="sr-Cyrl-CS"/>
              </w:rPr>
            </w:pPr>
            <w:r w:rsidRPr="009A4B5F">
              <w:rPr>
                <w:bCs/>
                <w:lang w:val="sr-Cyrl-CS"/>
              </w:rPr>
              <w:t>Студент је усвојио основне варијанте елементарних игара и методски поступак обучавања основних елемената технике спортских игара.</w:t>
            </w:r>
          </w:p>
        </w:tc>
      </w:tr>
      <w:tr w:rsidR="004210A2" w:rsidRPr="009A4B5F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jc w:val="both"/>
              <w:rPr>
                <w:b/>
                <w:bCs/>
                <w:lang w:val="ru-RU"/>
              </w:rPr>
            </w:pPr>
            <w:r w:rsidRPr="009A4B5F">
              <w:rPr>
                <w:b/>
                <w:bCs/>
                <w:lang w:val="sr-Cyrl-CS"/>
              </w:rPr>
              <w:t>Садржај предмета</w:t>
            </w:r>
          </w:p>
          <w:p w:rsidR="004210A2" w:rsidRPr="009A4B5F" w:rsidRDefault="004210A2" w:rsidP="00775DE7">
            <w:pPr>
              <w:jc w:val="both"/>
              <w:rPr>
                <w:i/>
                <w:iCs/>
                <w:lang w:val="sr-Cyrl-CS"/>
              </w:rPr>
            </w:pPr>
            <w:r w:rsidRPr="009A4B5F">
              <w:rPr>
                <w:i/>
                <w:iCs/>
                <w:lang w:val="sr-Cyrl-CS"/>
              </w:rPr>
              <w:t>Теоријска настава</w:t>
            </w:r>
          </w:p>
          <w:p w:rsidR="004210A2" w:rsidRDefault="004210A2" w:rsidP="00775DE7">
            <w:pPr>
              <w:jc w:val="both"/>
              <w:rPr>
                <w:iCs/>
                <w:lang w:val="sr-Cyrl-CS"/>
              </w:rPr>
            </w:pPr>
            <w:r w:rsidRPr="009A4B5F">
              <w:rPr>
                <w:iCs/>
                <w:lang w:val="sr-Cyrl-CS"/>
              </w:rPr>
              <w:t>Примена различитих метода рада у реализацији дечије игре. Елементарне игре у води и на снегу. Кооперативне и компетитивне игре. Игре за развој моторичких способности (снага, брзина, издржљивост, равнотежа, координација, прецизност, покретљивост, спретност и окретност). Методика фудбала, методика кошарке, методика одбојке, методика рукомета.</w:t>
            </w:r>
          </w:p>
          <w:p w:rsidR="004210A2" w:rsidRPr="009A4B5F" w:rsidRDefault="004210A2" w:rsidP="00775DE7">
            <w:pPr>
              <w:jc w:val="both"/>
              <w:rPr>
                <w:i/>
                <w:iCs/>
                <w:lang w:val="ru-RU"/>
              </w:rPr>
            </w:pPr>
          </w:p>
          <w:p w:rsidR="004210A2" w:rsidRPr="009A4B5F" w:rsidRDefault="004210A2" w:rsidP="00775DE7">
            <w:pPr>
              <w:ind w:right="-120"/>
              <w:jc w:val="both"/>
              <w:rPr>
                <w:i/>
                <w:iCs/>
                <w:lang w:val="ru-RU"/>
              </w:rPr>
            </w:pPr>
            <w:r w:rsidRPr="009A4B5F">
              <w:rPr>
                <w:i/>
                <w:iCs/>
                <w:lang w:val="sr-Cyrl-CS"/>
              </w:rPr>
              <w:t>Практична настава</w:t>
            </w:r>
          </w:p>
          <w:p w:rsidR="004210A2" w:rsidRPr="009A4B5F" w:rsidRDefault="004210A2" w:rsidP="00775DE7">
            <w:pPr>
              <w:jc w:val="both"/>
              <w:rPr>
                <w:lang w:val="ru-RU"/>
              </w:rPr>
            </w:pPr>
            <w:r w:rsidRPr="009A4B5F">
              <w:rPr>
                <w:iCs/>
                <w:lang w:val="ru-RU"/>
              </w:rPr>
              <w:t>Игре у сали, игре на ливади, игре на справама, игре у пару, игре у групи, игре са различитим реквизитима (лопта, вијача, обруч, чуњ, падобрани, коцке, ластиш и др.). Израда методског поступка основних елемената технике планираних спортских игара, обучавање елемената технике, практична применљивост елемената технике у игри и такмичењу.</w:t>
            </w:r>
          </w:p>
        </w:tc>
      </w:tr>
      <w:tr w:rsidR="004210A2" w:rsidRPr="009A4B5F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jc w:val="both"/>
              <w:rPr>
                <w:b/>
                <w:bCs/>
                <w:lang w:val="sr-Cyrl-CS"/>
              </w:rPr>
            </w:pPr>
            <w:r w:rsidRPr="009A4B5F">
              <w:rPr>
                <w:b/>
                <w:bCs/>
                <w:lang w:val="sr-Cyrl-CS"/>
              </w:rPr>
              <w:t xml:space="preserve">Литература </w:t>
            </w:r>
          </w:p>
          <w:p w:rsidR="004210A2" w:rsidRPr="009A4B5F" w:rsidRDefault="004210A2" w:rsidP="004210A2">
            <w:pPr>
              <w:numPr>
                <w:ilvl w:val="0"/>
                <w:numId w:val="16"/>
              </w:numPr>
              <w:jc w:val="both"/>
              <w:rPr>
                <w:bCs/>
                <w:lang w:val="sr-Cyrl-CS"/>
              </w:rPr>
            </w:pPr>
            <w:r w:rsidRPr="009A4B5F">
              <w:rPr>
                <w:bCs/>
                <w:lang w:val="sr-Cyrl-CS"/>
              </w:rPr>
              <w:t xml:space="preserve">Алексић, В. (1995). </w:t>
            </w:r>
            <w:r w:rsidRPr="009A4B5F">
              <w:rPr>
                <w:bCs/>
                <w:i/>
                <w:lang w:val="sr-Cyrl-CS"/>
              </w:rPr>
              <w:t>Методика фудбала</w:t>
            </w:r>
            <w:r w:rsidRPr="009A4B5F">
              <w:rPr>
                <w:bCs/>
                <w:lang w:val="sr-Cyrl-CS"/>
              </w:rPr>
              <w:t>. Београд: Факултет физичке културе.</w:t>
            </w:r>
          </w:p>
          <w:p w:rsidR="004210A2" w:rsidRPr="009A4B5F" w:rsidRDefault="004210A2" w:rsidP="004210A2">
            <w:pPr>
              <w:numPr>
                <w:ilvl w:val="0"/>
                <w:numId w:val="16"/>
              </w:numPr>
              <w:jc w:val="both"/>
              <w:rPr>
                <w:lang w:val="sr-Cyrl-CS"/>
              </w:rPr>
            </w:pPr>
            <w:r w:rsidRPr="009A4B5F">
              <w:t xml:space="preserve">Вишњић, Д. и сар. (2004). </w:t>
            </w:r>
            <w:r w:rsidRPr="009A4B5F">
              <w:rPr>
                <w:i/>
              </w:rPr>
              <w:t>Теорија и методика физичког васпитања</w:t>
            </w:r>
            <w:r w:rsidRPr="009A4B5F">
              <w:t>. Аранђеловац: Ви</w:t>
            </w:r>
            <w:r w:rsidRPr="009A4B5F">
              <w:t>к</w:t>
            </w:r>
            <w:r w:rsidRPr="009A4B5F">
              <w:t>тор штампа.</w:t>
            </w:r>
          </w:p>
          <w:p w:rsidR="004210A2" w:rsidRPr="009A4B5F" w:rsidRDefault="004210A2" w:rsidP="004210A2">
            <w:pPr>
              <w:numPr>
                <w:ilvl w:val="0"/>
                <w:numId w:val="16"/>
              </w:numPr>
              <w:jc w:val="both"/>
              <w:rPr>
                <w:lang w:val="sr-Cyrl-CS"/>
              </w:rPr>
            </w:pPr>
            <w:r w:rsidRPr="009A4B5F">
              <w:rPr>
                <w:lang w:val="sr-Cyrl-CS"/>
              </w:rPr>
              <w:t xml:space="preserve">Каралејић, М., Јаковљевић, С. (2001). </w:t>
            </w:r>
            <w:r w:rsidRPr="009A4B5F">
              <w:rPr>
                <w:i/>
                <w:lang w:val="sr-Cyrl-CS"/>
              </w:rPr>
              <w:t>Основе кошарке</w:t>
            </w:r>
            <w:r w:rsidRPr="009A4B5F">
              <w:rPr>
                <w:lang w:val="sr-Cyrl-CS"/>
              </w:rPr>
              <w:t>. Београд: Факулте спорта и физичког васпитања.</w:t>
            </w:r>
          </w:p>
          <w:p w:rsidR="004210A2" w:rsidRPr="009A4B5F" w:rsidRDefault="004210A2" w:rsidP="004210A2">
            <w:pPr>
              <w:numPr>
                <w:ilvl w:val="0"/>
                <w:numId w:val="16"/>
              </w:numPr>
              <w:jc w:val="both"/>
              <w:rPr>
                <w:lang w:val="sr-Cyrl-CS"/>
              </w:rPr>
            </w:pPr>
            <w:r w:rsidRPr="009A4B5F">
              <w:rPr>
                <w:lang w:val="sr-Cyrl-CS"/>
              </w:rPr>
              <w:t xml:space="preserve">Томић, Д. (1971). </w:t>
            </w:r>
            <w:r w:rsidRPr="009A4B5F">
              <w:rPr>
                <w:i/>
                <w:lang w:val="sr-Cyrl-CS"/>
              </w:rPr>
              <w:t>Одбојка</w:t>
            </w:r>
            <w:r w:rsidRPr="009A4B5F">
              <w:rPr>
                <w:lang w:val="sr-Cyrl-CS"/>
              </w:rPr>
              <w:t>. Београд: Завод за уџбеника социјалистичке Републике Србије.</w:t>
            </w:r>
          </w:p>
          <w:p w:rsidR="004210A2" w:rsidRPr="00447EFD" w:rsidRDefault="004210A2" w:rsidP="004210A2">
            <w:pPr>
              <w:numPr>
                <w:ilvl w:val="0"/>
                <w:numId w:val="16"/>
              </w:numPr>
              <w:jc w:val="both"/>
              <w:rPr>
                <w:lang w:val="sr-Cyrl-CS"/>
              </w:rPr>
            </w:pPr>
            <w:r w:rsidRPr="009A4B5F">
              <w:rPr>
                <w:lang w:val="sr-Cyrl-CS"/>
              </w:rPr>
              <w:t>Томић, Д. (1968). Елементарне игре. Београд: НИП „Партизан“.</w:t>
            </w:r>
          </w:p>
          <w:p w:rsidR="004210A2" w:rsidRPr="00447EFD" w:rsidRDefault="004210A2" w:rsidP="004210A2">
            <w:pPr>
              <w:numPr>
                <w:ilvl w:val="0"/>
                <w:numId w:val="16"/>
              </w:numPr>
              <w:jc w:val="both"/>
              <w:rPr>
                <w:lang w:val="sr-Cyrl-CS"/>
              </w:rPr>
            </w:pPr>
            <w:r w:rsidRPr="00447EFD">
              <w:rPr>
                <w:lang w:val="sr-Cyrl-CS"/>
              </w:rPr>
              <w:t>Томљановић, В., Малић, З. (1982).</w:t>
            </w:r>
            <w:r w:rsidRPr="00447EFD">
              <w:rPr>
                <w:b/>
                <w:lang w:val="sr-Cyrl-CS"/>
              </w:rPr>
              <w:t xml:space="preserve"> </w:t>
            </w:r>
            <w:r w:rsidRPr="00447EFD">
              <w:rPr>
                <w:lang w:val="sr-Cyrl-CS"/>
              </w:rPr>
              <w:t>Рукомет - теорија и пракса. Загреб: Спортска трибина.</w:t>
            </w:r>
          </w:p>
        </w:tc>
      </w:tr>
      <w:tr w:rsidR="004210A2" w:rsidRPr="009A4B5F" w:rsidTr="00775DE7">
        <w:trPr>
          <w:jc w:val="center"/>
        </w:trPr>
        <w:tc>
          <w:tcPr>
            <w:tcW w:w="9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b/>
                <w:bCs/>
                <w:lang w:val="en-US"/>
              </w:rPr>
            </w:pPr>
            <w:r w:rsidRPr="009A4B5F">
              <w:rPr>
                <w:b/>
                <w:bCs/>
                <w:lang w:val="sr-Cyrl-CS"/>
              </w:rPr>
              <w:t xml:space="preserve">Број часова </w:t>
            </w:r>
            <w:r w:rsidRPr="009A4B5F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b/>
                <w:bCs/>
                <w:lang w:val="ru-RU"/>
              </w:rPr>
            </w:pPr>
            <w:r w:rsidRPr="009A4B5F">
              <w:rPr>
                <w:lang w:val="en-US"/>
              </w:rPr>
              <w:t>Остали часови</w:t>
            </w:r>
          </w:p>
        </w:tc>
      </w:tr>
      <w:tr w:rsidR="004210A2" w:rsidRPr="009A4B5F" w:rsidTr="00775DE7">
        <w:trPr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bCs/>
                <w:lang w:val="sr-Cyrl-CS"/>
              </w:rPr>
            </w:pPr>
            <w:r w:rsidRPr="009A4B5F">
              <w:rPr>
                <w:bCs/>
                <w:lang w:val="en-US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9A4B5F">
              <w:rPr>
                <w:bCs/>
                <w:lang w:val="sr-Cyrl-CS"/>
              </w:rPr>
              <w:t>30</w:t>
            </w:r>
          </w:p>
          <w:p w:rsidR="004210A2" w:rsidRPr="009A4B5F" w:rsidRDefault="004210A2" w:rsidP="00775DE7">
            <w:pPr>
              <w:rPr>
                <w:bCs/>
                <w:lang w:val="sr-Cyrl-CS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bCs/>
                <w:lang w:val="sr-Cyrl-CS"/>
              </w:rPr>
            </w:pPr>
            <w:r w:rsidRPr="009A4B5F">
              <w:rPr>
                <w:bCs/>
                <w:lang w:val="en-US"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 w:rsidRPr="009A4B5F">
              <w:rPr>
                <w:bCs/>
                <w:lang w:val="sr-Cyrl-CS"/>
              </w:rPr>
              <w:t>30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bCs/>
                <w:lang w:val="en-US"/>
              </w:rPr>
            </w:pPr>
            <w:r w:rsidRPr="009A4B5F">
              <w:rPr>
                <w:bCs/>
                <w:lang w:val="en-US"/>
              </w:rPr>
              <w:t>Други облици наставе: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53709" w:rsidRDefault="004210A2" w:rsidP="00775DE7">
            <w:pPr>
              <w:rPr>
                <w:bCs/>
                <w:lang w:val="sr-Cyrl-RS"/>
              </w:rPr>
            </w:pPr>
            <w:r w:rsidRPr="009A4B5F">
              <w:rPr>
                <w:bCs/>
                <w:lang w:val="en-US"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30</w:t>
            </w:r>
          </w:p>
          <w:p w:rsidR="004210A2" w:rsidRPr="009A4B5F" w:rsidRDefault="004210A2" w:rsidP="00775DE7">
            <w:pPr>
              <w:rPr>
                <w:bCs/>
                <w:lang w:val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A2" w:rsidRPr="009A4B5F" w:rsidRDefault="004210A2" w:rsidP="00775DE7">
            <w:pPr>
              <w:widowControl/>
              <w:autoSpaceDE/>
              <w:autoSpaceDN/>
              <w:adjustRightInd/>
              <w:rPr>
                <w:b/>
                <w:bCs/>
                <w:lang w:val="ru-RU"/>
              </w:rPr>
            </w:pPr>
          </w:p>
        </w:tc>
      </w:tr>
      <w:tr w:rsidR="004210A2" w:rsidRPr="009A4B5F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b/>
                <w:bCs/>
                <w:lang w:val="sr-Cyrl-CS"/>
              </w:rPr>
            </w:pPr>
            <w:r w:rsidRPr="009A4B5F">
              <w:rPr>
                <w:b/>
                <w:bCs/>
                <w:lang w:val="sr-Cyrl-CS"/>
              </w:rPr>
              <w:t>Методе извођења наставе</w:t>
            </w:r>
          </w:p>
          <w:p w:rsidR="004210A2" w:rsidRPr="009A4B5F" w:rsidRDefault="004210A2" w:rsidP="004210A2">
            <w:pPr>
              <w:widowControl/>
              <w:numPr>
                <w:ilvl w:val="0"/>
                <w:numId w:val="15"/>
              </w:numPr>
              <w:jc w:val="both"/>
              <w:rPr>
                <w:lang w:val="ru-RU" w:eastAsia="en-US"/>
              </w:rPr>
            </w:pPr>
            <w:r w:rsidRPr="009A4B5F">
              <w:rPr>
                <w:bCs/>
                <w:lang w:val="ru-RU" w:eastAsia="en-US"/>
              </w:rPr>
              <w:t>метод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bCs/>
                <w:lang w:val="ru-RU" w:eastAsia="en-US"/>
              </w:rPr>
              <w:t>показивања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bCs/>
                <w:lang w:val="ru-RU" w:eastAsia="en-US"/>
              </w:rPr>
              <w:t>–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bCs/>
                <w:lang w:val="ru-RU" w:eastAsia="en-US"/>
              </w:rPr>
              <w:t>демонстрације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bCs/>
                <w:lang w:val="ru-RU" w:eastAsia="en-US"/>
              </w:rPr>
              <w:t>и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bCs/>
                <w:lang w:val="ru-RU" w:eastAsia="en-US"/>
              </w:rPr>
              <w:t>посматрања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(показивање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по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правилном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редоследу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основних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момената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и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детаља;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прво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у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целини;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употреба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и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разних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помоћних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средстава: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слика,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цртежа</w:t>
            </w:r>
            <w:r w:rsidRPr="009A4B5F">
              <w:rPr>
                <w:lang w:val="sr-Cyrl-CS" w:eastAsia="en-US"/>
              </w:rPr>
              <w:t xml:space="preserve"> и др.</w:t>
            </w:r>
            <w:r w:rsidRPr="009A4B5F">
              <w:rPr>
                <w:lang w:val="ru-RU" w:eastAsia="en-US"/>
              </w:rPr>
              <w:t>);</w:t>
            </w:r>
          </w:p>
          <w:p w:rsidR="004210A2" w:rsidRPr="009A4B5F" w:rsidRDefault="004210A2" w:rsidP="004210A2">
            <w:pPr>
              <w:widowControl/>
              <w:numPr>
                <w:ilvl w:val="0"/>
                <w:numId w:val="15"/>
              </w:numPr>
              <w:jc w:val="both"/>
              <w:rPr>
                <w:lang w:val="ru-RU" w:eastAsia="en-US"/>
              </w:rPr>
            </w:pPr>
            <w:r w:rsidRPr="009A4B5F">
              <w:rPr>
                <w:bCs/>
                <w:lang w:val="ru-RU" w:eastAsia="en-US"/>
              </w:rPr>
              <w:t>мето</w:t>
            </w:r>
            <w:r w:rsidRPr="009A4B5F">
              <w:rPr>
                <w:bCs/>
                <w:lang w:val="sr-Cyrl-CS" w:eastAsia="en-US"/>
              </w:rPr>
              <w:t>д ж</w:t>
            </w:r>
            <w:r w:rsidRPr="009A4B5F">
              <w:rPr>
                <w:bCs/>
                <w:lang w:val="ru-RU" w:eastAsia="en-US"/>
              </w:rPr>
              <w:t>иве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bCs/>
                <w:lang w:val="ru-RU" w:eastAsia="en-US"/>
              </w:rPr>
              <w:t>речи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(излагање,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описивање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и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објашњавање,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у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разумним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мерама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и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у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комбинацији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са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осталим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методама)</w:t>
            </w:r>
            <w:r w:rsidRPr="009A4B5F">
              <w:rPr>
                <w:bCs/>
                <w:lang w:val="ru-RU" w:eastAsia="en-US"/>
              </w:rPr>
              <w:t>;</w:t>
            </w:r>
          </w:p>
          <w:p w:rsidR="004210A2" w:rsidRPr="009A4B5F" w:rsidRDefault="004210A2" w:rsidP="004210A2">
            <w:pPr>
              <w:widowControl/>
              <w:numPr>
                <w:ilvl w:val="0"/>
                <w:numId w:val="15"/>
              </w:numPr>
              <w:jc w:val="both"/>
              <w:rPr>
                <w:lang w:val="ru-RU" w:eastAsia="en-US"/>
              </w:rPr>
            </w:pPr>
            <w:r w:rsidRPr="009A4B5F">
              <w:rPr>
                <w:bCs/>
                <w:lang w:val="ru-RU" w:eastAsia="en-US"/>
              </w:rPr>
              <w:t>метод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bCs/>
                <w:lang w:val="ru-RU" w:eastAsia="en-US"/>
              </w:rPr>
              <w:t>имитације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bCs/>
                <w:lang w:val="ru-RU" w:eastAsia="en-US"/>
              </w:rPr>
              <w:t>и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bCs/>
                <w:lang w:val="ru-RU" w:eastAsia="en-US"/>
              </w:rPr>
              <w:t>драматизације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(имитација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птице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у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лету,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мачке,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зечева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–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драматизација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догађаја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или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свакодневних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радова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помоћу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телесних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покрета)</w:t>
            </w:r>
            <w:r w:rsidRPr="009A4B5F">
              <w:rPr>
                <w:lang w:val="sr-Cyrl-CS" w:eastAsia="en-US"/>
              </w:rPr>
              <w:t xml:space="preserve"> и</w:t>
            </w:r>
          </w:p>
          <w:p w:rsidR="004210A2" w:rsidRPr="009A4B5F" w:rsidRDefault="004210A2" w:rsidP="004210A2">
            <w:pPr>
              <w:widowControl/>
              <w:numPr>
                <w:ilvl w:val="0"/>
                <w:numId w:val="15"/>
              </w:numPr>
              <w:jc w:val="both"/>
              <w:rPr>
                <w:lang w:val="sr-Cyrl-CS"/>
              </w:rPr>
            </w:pPr>
            <w:r w:rsidRPr="009A4B5F">
              <w:rPr>
                <w:bCs/>
                <w:lang w:val="ru-RU" w:eastAsia="en-US"/>
              </w:rPr>
              <w:t>метод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bCs/>
                <w:lang w:val="ru-RU" w:eastAsia="en-US"/>
              </w:rPr>
              <w:t>практичног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bCs/>
                <w:lang w:val="ru-RU" w:eastAsia="en-US"/>
              </w:rPr>
              <w:t>вежбања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(синтетичка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метода,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аналитичка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метода</w:t>
            </w:r>
            <w:r w:rsidRPr="009A4B5F">
              <w:rPr>
                <w:lang w:val="sr-Cyrl-CS" w:eastAsia="en-US"/>
              </w:rPr>
              <w:t xml:space="preserve"> и </w:t>
            </w:r>
            <w:r w:rsidRPr="009A4B5F">
              <w:rPr>
                <w:lang w:val="ru-RU" w:eastAsia="en-US"/>
              </w:rPr>
              <w:t>комплексна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метода)</w:t>
            </w:r>
            <w:r w:rsidRPr="009A4B5F">
              <w:rPr>
                <w:bCs/>
                <w:lang w:val="sr-Cyrl-CS" w:eastAsia="en-US"/>
              </w:rPr>
              <w:t>.</w:t>
            </w:r>
          </w:p>
        </w:tc>
      </w:tr>
      <w:tr w:rsidR="004210A2" w:rsidRPr="009A4B5F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jc w:val="center"/>
              <w:rPr>
                <w:b/>
                <w:bCs/>
                <w:lang w:val="ru-RU"/>
              </w:rPr>
            </w:pPr>
            <w:r w:rsidRPr="009A4B5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210A2" w:rsidRPr="009A4B5F" w:rsidTr="00775DE7">
        <w:trPr>
          <w:jc w:val="center"/>
        </w:trPr>
        <w:tc>
          <w:tcPr>
            <w:tcW w:w="3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lang w:val="sr-Cyrl-CS"/>
              </w:rPr>
            </w:pPr>
            <w:r w:rsidRPr="009A4B5F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415A5C" w:rsidRDefault="004210A2" w:rsidP="00775DE7">
            <w:pPr>
              <w:rPr>
                <w:bCs/>
                <w:lang w:val="en-US"/>
              </w:rPr>
            </w:pPr>
            <w:r w:rsidRPr="00415A5C">
              <w:rPr>
                <w:bCs/>
                <w:lang w:val="sr-Cyrl-CS"/>
              </w:rPr>
              <w:t>п</w:t>
            </w:r>
            <w:r w:rsidRPr="00415A5C">
              <w:rPr>
                <w:bCs/>
                <w:lang w:val="en-US"/>
              </w:rPr>
              <w:t>оена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lang w:val="en-US"/>
              </w:rPr>
            </w:pPr>
            <w:r w:rsidRPr="009A4B5F">
              <w:rPr>
                <w:lang w:val="en-US"/>
              </w:rPr>
              <w:t xml:space="preserve">Завршни испит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415A5C" w:rsidRDefault="004210A2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4210A2" w:rsidRPr="009A4B5F" w:rsidTr="00775DE7">
        <w:trPr>
          <w:jc w:val="center"/>
        </w:trPr>
        <w:tc>
          <w:tcPr>
            <w:tcW w:w="3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i/>
                <w:iCs/>
                <w:lang w:val="sr-Cyrl-CS"/>
              </w:rPr>
            </w:pPr>
            <w:r w:rsidRPr="009A4B5F">
              <w:rPr>
                <w:lang w:val="sr-Cyrl-CS"/>
              </w:rPr>
              <w:t>активност у току предавања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10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i/>
                <w:iCs/>
                <w:lang w:val="sr-Cyrl-CS"/>
              </w:rPr>
            </w:pPr>
            <w:r w:rsidRPr="009A4B5F">
              <w:rPr>
                <w:lang w:val="sr-Cyrl-CS"/>
              </w:rPr>
              <w:t>писмени испит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jc w:val="center"/>
              <w:rPr>
                <w:iCs/>
                <w:lang w:val="sr-Cyrl-CS"/>
              </w:rPr>
            </w:pPr>
          </w:p>
        </w:tc>
      </w:tr>
      <w:tr w:rsidR="004210A2" w:rsidRPr="009A4B5F" w:rsidTr="00775DE7">
        <w:trPr>
          <w:jc w:val="center"/>
        </w:trPr>
        <w:tc>
          <w:tcPr>
            <w:tcW w:w="3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i/>
                <w:iCs/>
                <w:lang w:val="sr-Cyrl-CS"/>
              </w:rPr>
            </w:pPr>
            <w:r w:rsidRPr="009A4B5F">
              <w:rPr>
                <w:lang w:val="sr-Cyrl-CS"/>
              </w:rPr>
              <w:t>практична настава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20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i/>
                <w:iCs/>
                <w:lang w:val="sr-Cyrl-CS"/>
              </w:rPr>
            </w:pPr>
            <w:r w:rsidRPr="009A4B5F">
              <w:rPr>
                <w:lang w:val="sr-Cyrl-CS"/>
              </w:rPr>
              <w:t>усмени испит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jc w:val="center"/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30</w:t>
            </w:r>
          </w:p>
        </w:tc>
      </w:tr>
      <w:tr w:rsidR="004210A2" w:rsidRPr="009A4B5F" w:rsidTr="00775DE7">
        <w:trPr>
          <w:jc w:val="center"/>
        </w:trPr>
        <w:tc>
          <w:tcPr>
            <w:tcW w:w="3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i/>
                <w:iCs/>
                <w:lang w:val="sr-Cyrl-CS"/>
              </w:rPr>
            </w:pPr>
            <w:r w:rsidRPr="009A4B5F">
              <w:rPr>
                <w:lang w:val="sr-Cyrl-CS"/>
              </w:rPr>
              <w:t>колоквијум-и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40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15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0"/>
  </w:num>
  <w:num w:numId="10">
    <w:abstractNumId w:val="11"/>
  </w:num>
  <w:num w:numId="11">
    <w:abstractNumId w:val="14"/>
  </w:num>
  <w:num w:numId="12">
    <w:abstractNumId w:val="5"/>
  </w:num>
  <w:num w:numId="13">
    <w:abstractNumId w:val="9"/>
  </w:num>
  <w:num w:numId="14">
    <w:abstractNumId w:val="3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30C66"/>
    <w:rsid w:val="00264311"/>
    <w:rsid w:val="002C3361"/>
    <w:rsid w:val="002F0AFA"/>
    <w:rsid w:val="004210A2"/>
    <w:rsid w:val="006B2AF5"/>
    <w:rsid w:val="006C0F5F"/>
    <w:rsid w:val="006D4745"/>
    <w:rsid w:val="007C2441"/>
    <w:rsid w:val="008F2492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2013-09-24T10:12:00Z</dcterms:created>
  <dcterms:modified xsi:type="dcterms:W3CDTF">2013-09-24T10:12:00Z</dcterms:modified>
</cp:coreProperties>
</file>