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наставе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Елементарне игре и скијање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Елементарне игре и пливање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Методика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F36837" w:rsidP="005A71CF">
            <w:pPr>
              <w:rPr>
                <w:lang w:val="sr-Cyrl-CS"/>
              </w:rPr>
            </w:pPr>
            <w:hyperlink r:id="rId6" w:history="1">
              <w:r w:rsidR="003262D0" w:rsidRPr="001C1444">
                <w:rPr>
                  <w:rStyle w:val="Hyperlink"/>
                  <w:lang w:val="sr-Cyrl-CS"/>
                </w:rPr>
                <w:t>Методика елементарних и спортских игара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F36837" w:rsidP="005A71CF">
            <w:pPr>
              <w:rPr>
                <w:lang w:val="sr-Cyrl-CS"/>
              </w:rPr>
            </w:pPr>
            <w:hyperlink r:id="rId7" w:history="1">
              <w:r w:rsidR="003262D0" w:rsidRPr="001C1444">
                <w:rPr>
                  <w:rStyle w:val="Hyperlink"/>
                  <w:lang w:val="sr-Cyrl-CS"/>
                </w:rPr>
                <w:t>Теорија физичке културе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r>
              <w:t>Спортско-</w:t>
            </w:r>
            <w:r w:rsidRPr="00E10795">
              <w:t>рекреативне активности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Терминологија у физичком васпитању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F36837" w:rsidP="00ED7FD1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bCs/>
                <w:lang w:val="sr-Cyrl-CS"/>
              </w:rPr>
              <w:t>Основ</w:t>
            </w:r>
            <w:r w:rsidRPr="00E10795">
              <w:rPr>
                <w:bCs/>
              </w:rPr>
              <w:t>и</w:t>
            </w:r>
            <w:r w:rsidRPr="00E10795">
              <w:rPr>
                <w:bCs/>
                <w:lang w:val="sr-Cyrl-CS"/>
              </w:rPr>
              <w:t xml:space="preserve"> спорта и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1C1444"/>
    <w:rsid w:val="002679FC"/>
    <w:rsid w:val="003262D0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D7FD1"/>
    <w:rsid w:val="00F3683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C14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C1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3.%20Teorija_fizicke_kultur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3.%20Metodika_elementarnih_i_sportskih_igar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2013-09-24T09:22:00Z</dcterms:created>
  <dcterms:modified xsi:type="dcterms:W3CDTF">2013-10-04T09:44:00Z</dcterms:modified>
</cp:coreProperties>
</file>