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jc w:val="center"/>
        <w:tblInd w:w="4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6"/>
        <w:gridCol w:w="1134"/>
        <w:gridCol w:w="2126"/>
        <w:gridCol w:w="2751"/>
        <w:gridCol w:w="401"/>
        <w:gridCol w:w="1872"/>
      </w:tblGrid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bCs/>
                <w:lang w:val="sr-Cyrl-CS"/>
              </w:rPr>
            </w:pPr>
            <w:r w:rsidRPr="00051BA4">
              <w:rPr>
                <w:bCs/>
                <w:lang w:val="sr-Cyrl-CS"/>
              </w:rPr>
              <w:t>Студијски програм</w:t>
            </w:r>
            <w:r w:rsidRPr="00051BA4">
              <w:rPr>
                <w:bCs/>
                <w:lang w:val="ru-RU"/>
              </w:rPr>
              <w:t>/студијски програми</w:t>
            </w:r>
            <w:r w:rsidRPr="00051BA4">
              <w:rPr>
                <w:bCs/>
              </w:rPr>
              <w:t>:</w:t>
            </w:r>
            <w:r w:rsidRPr="00051BA4">
              <w:rPr>
                <w:bCs/>
                <w:lang w:val="sr-Cyrl-CS"/>
              </w:rPr>
              <w:t xml:space="preserve"> </w:t>
            </w:r>
            <w:r w:rsidRPr="00C535F1">
              <w:rPr>
                <w:bCs/>
                <w:lang w:val="sr-Cyrl-CS"/>
              </w:rPr>
              <w:t>Мастер учитељ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bCs/>
                <w:lang w:val="sr-Cyrl-CS"/>
              </w:rPr>
            </w:pPr>
            <w:r w:rsidRPr="00051BA4">
              <w:rPr>
                <w:lang w:val="sr-Cyrl-CS"/>
              </w:rPr>
              <w:t xml:space="preserve">Врста </w:t>
            </w:r>
            <w:r w:rsidRPr="00051BA4">
              <w:rPr>
                <w:lang w:val="ru-RU"/>
              </w:rPr>
              <w:t xml:space="preserve">и ниво студија: </w:t>
            </w:r>
            <w:r w:rsidRPr="00C535F1">
              <w:rPr>
                <w:bCs/>
              </w:rPr>
              <w:t>Мастер</w:t>
            </w:r>
            <w:r w:rsidRPr="00C535F1">
              <w:rPr>
                <w:bCs/>
                <w:lang w:val="sr-Cyrl-CS"/>
              </w:rPr>
              <w:t xml:space="preserve"> академске студије</w:t>
            </w:r>
          </w:p>
        </w:tc>
      </w:tr>
      <w:tr w:rsidR="00653219" w:rsidRPr="008E3E6E" w:rsidTr="00775DE7">
        <w:trPr>
          <w:jc w:val="center"/>
        </w:trPr>
        <w:tc>
          <w:tcPr>
            <w:tcW w:w="10900" w:type="dxa"/>
            <w:gridSpan w:val="6"/>
          </w:tcPr>
          <w:p w:rsidR="00653219" w:rsidRPr="008E3E6E" w:rsidRDefault="00653219" w:rsidP="00775DE7">
            <w:pPr>
              <w:pStyle w:val="Heading3"/>
              <w:rPr>
                <w:lang w:val="sr-Cyrl-CS"/>
              </w:rPr>
            </w:pPr>
            <w:bookmarkStart w:id="0" w:name="_Toc365528489"/>
            <w:r w:rsidRPr="008E3E6E">
              <w:rPr>
                <w:bCs w:val="0"/>
                <w:lang w:val="sr-Cyrl-CS"/>
              </w:rPr>
              <w:t>Назив предмета: Образовна ефективност и развој школа</w:t>
            </w:r>
            <w:bookmarkEnd w:id="0"/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b/>
                <w:bCs/>
                <w:lang w:val="sr-Cyrl-CS"/>
              </w:rPr>
            </w:pPr>
            <w:r w:rsidRPr="00C535F1">
              <w:rPr>
                <w:b/>
                <w:bCs/>
                <w:lang w:val="sr-Cyrl-CS"/>
              </w:rPr>
              <w:t>Наставник</w:t>
            </w:r>
            <w:r w:rsidRPr="00051BA4">
              <w:rPr>
                <w:bCs/>
                <w:lang w:val="ru-RU"/>
              </w:rPr>
              <w:t xml:space="preserve"> (</w:t>
            </w:r>
            <w:r w:rsidRPr="00051BA4">
              <w:t xml:space="preserve">Презиме, </w:t>
            </w:r>
            <w:r w:rsidRPr="00051BA4">
              <w:rPr>
                <w:lang w:val="sr-Cyrl-CS"/>
              </w:rPr>
              <w:t xml:space="preserve">средње слово, </w:t>
            </w:r>
            <w:r w:rsidRPr="00051BA4">
              <w:t>име</w:t>
            </w:r>
            <w:r w:rsidRPr="00051BA4">
              <w:rPr>
                <w:lang w:val="ru-RU"/>
              </w:rPr>
              <w:t>)</w:t>
            </w:r>
            <w:r w:rsidRPr="00051BA4">
              <w:rPr>
                <w:bCs/>
                <w:lang w:val="sr-Cyrl-CS"/>
              </w:rPr>
              <w:t>:</w:t>
            </w:r>
            <w:r w:rsidRPr="00051BA4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 xml:space="preserve">Јелена Д. </w:t>
            </w:r>
            <w:r w:rsidRPr="00051BA4">
              <w:rPr>
                <w:b/>
                <w:bCs/>
                <w:lang w:val="sr-Cyrl-CS"/>
              </w:rPr>
              <w:t>Теодоровић</w:t>
            </w:r>
            <w:r>
              <w:rPr>
                <w:b/>
                <w:bCs/>
                <w:lang w:val="sr-Cyrl-CS"/>
              </w:rPr>
              <w:t xml:space="preserve"> </w:t>
            </w:r>
            <w:r w:rsidRPr="00051BA4">
              <w:rPr>
                <w:b/>
                <w:bCs/>
                <w:lang w:val="sr-Cyrl-CS"/>
              </w:rPr>
              <w:t xml:space="preserve"> 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</w:pPr>
            <w:r w:rsidRPr="00051BA4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lang w:val="sr-Cyrl-CS"/>
              </w:rPr>
            </w:pPr>
            <w:r w:rsidRPr="00051BA4">
              <w:rPr>
                <w:bCs/>
                <w:lang w:val="sr-Cyrl-CS"/>
              </w:rPr>
              <w:t>Број ЕСПБ</w:t>
            </w:r>
            <w:r w:rsidRPr="00051BA4">
              <w:rPr>
                <w:bCs/>
              </w:rPr>
              <w:t>:</w:t>
            </w:r>
            <w:r w:rsidRPr="00051BA4">
              <w:rPr>
                <w:bCs/>
                <w:lang w:val="sr-Cyrl-CS"/>
              </w:rPr>
              <w:t xml:space="preserve"> </w:t>
            </w:r>
            <w:r w:rsidRPr="002C183F">
              <w:rPr>
                <w:bCs/>
                <w:lang w:val="sr-Cyrl-CS"/>
              </w:rPr>
              <w:t>6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2C183F" w:rsidRDefault="00653219" w:rsidP="00775DE7">
            <w:pPr>
              <w:ind w:right="-84"/>
              <w:rPr>
                <w:lang w:val="sr-Cyrl-RS"/>
              </w:rPr>
            </w:pPr>
            <w:r w:rsidRPr="00051BA4">
              <w:rPr>
                <w:bCs/>
                <w:lang w:val="sr-Cyrl-CS"/>
              </w:rPr>
              <w:t>Услов</w:t>
            </w:r>
            <w:r w:rsidRPr="00051BA4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jc w:val="both"/>
              <w:rPr>
                <w:b/>
                <w:bCs/>
                <w:lang w:val="sr-Cyrl-CS"/>
              </w:rPr>
            </w:pPr>
            <w:r w:rsidRPr="00051BA4">
              <w:rPr>
                <w:b/>
                <w:bCs/>
                <w:lang w:val="sr-Cyrl-CS"/>
              </w:rPr>
              <w:t>Циљ предмета</w:t>
            </w:r>
          </w:p>
          <w:p w:rsidR="00653219" w:rsidRPr="00051BA4" w:rsidRDefault="00653219" w:rsidP="00775DE7">
            <w:pPr>
              <w:ind w:right="-84"/>
              <w:jc w:val="both"/>
              <w:rPr>
                <w:bCs/>
                <w:lang w:val="sr-Cyrl-CS"/>
              </w:rPr>
            </w:pPr>
            <w:r w:rsidRPr="00051BA4">
              <w:rPr>
                <w:lang w:val="sr-Cyrl-CS"/>
              </w:rPr>
              <w:t>Идентификација и одређивање релативног односа образовних фактора који утичу на ученичко постигнуће са различитих нивоа образовне хијерархије (ученика, одељења, школе, система), као и одређивање утицаја тих фактора на разлике у постигнућу између различитих демографских група ученика</w:t>
            </w:r>
            <w:r w:rsidRPr="00051BA4">
              <w:t xml:space="preserve">. </w:t>
            </w:r>
            <w:r w:rsidRPr="00051BA4">
              <w:rPr>
                <w:lang w:val="sr-Cyrl-CS"/>
              </w:rPr>
              <w:t>Коришћење модела образовне ефективности у различите сврхе. Проучавање процеса развоја и побољшања школа у пракси. Упознавање са моделима и методологијом образовне ефективности и развоја школа.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jc w:val="both"/>
              <w:rPr>
                <w:b/>
                <w:bCs/>
                <w:lang w:val="sr-Cyrl-CS"/>
              </w:rPr>
            </w:pPr>
            <w:r w:rsidRPr="00051BA4">
              <w:rPr>
                <w:b/>
                <w:bCs/>
                <w:lang w:val="sr-Cyrl-CS"/>
              </w:rPr>
              <w:t>Исход предмета</w:t>
            </w:r>
          </w:p>
          <w:p w:rsidR="00653219" w:rsidRPr="00051BA4" w:rsidRDefault="00653219" w:rsidP="00775DE7">
            <w:pPr>
              <w:ind w:right="-84"/>
              <w:jc w:val="both"/>
              <w:rPr>
                <w:lang w:val="sr-Cyrl-CS"/>
              </w:rPr>
            </w:pPr>
            <w:r w:rsidRPr="00051BA4">
              <w:rPr>
                <w:lang w:val="sr-Cyrl-CS"/>
              </w:rPr>
              <w:t>Познавање образовних фактора који утичу на ученичко постигнуће на нивоу ученика, одељења, школе и система и који утичу на разлике у постигнућу између различитих демографских група. Познавање модела и методолошких проблема у пољу образовне ефективности. Познавање основних процеса развоја и побошања школа. Способност осмишљавања могућих интервенција које могу да побољшају ученичко постигнуће и смање разлике у постигнућу између различитих демографских група. Примена критичког односа према студијама, резултатима и интерпретацији резултата. Заснивање мишљења на основу валидних истраживања.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Default="00653219" w:rsidP="00775DE7">
            <w:pPr>
              <w:ind w:right="-84"/>
              <w:jc w:val="both"/>
              <w:rPr>
                <w:b/>
                <w:bCs/>
                <w:lang w:val="sr-Cyrl-CS"/>
              </w:rPr>
            </w:pPr>
            <w:r w:rsidRPr="00051BA4">
              <w:rPr>
                <w:b/>
                <w:bCs/>
                <w:lang w:val="sr-Cyrl-CS"/>
              </w:rPr>
              <w:t>Садржај предмета</w:t>
            </w:r>
          </w:p>
          <w:p w:rsidR="00653219" w:rsidRPr="005717BA" w:rsidRDefault="00653219" w:rsidP="00775DE7">
            <w:pPr>
              <w:ind w:right="-84"/>
              <w:jc w:val="both"/>
              <w:rPr>
                <w:bCs/>
                <w:i/>
                <w:lang w:val="ru-RU"/>
              </w:rPr>
            </w:pPr>
            <w:r w:rsidRPr="005717BA">
              <w:rPr>
                <w:bCs/>
                <w:i/>
                <w:lang w:val="sr-Cyrl-CS"/>
              </w:rPr>
              <w:t>Теоријска настава</w:t>
            </w:r>
          </w:p>
          <w:p w:rsidR="00653219" w:rsidRPr="00051BA4" w:rsidRDefault="00653219" w:rsidP="00775DE7">
            <w:pPr>
              <w:ind w:right="-84"/>
              <w:jc w:val="both"/>
              <w:rPr>
                <w:lang w:val="sr-Cyrl-CS"/>
              </w:rPr>
            </w:pPr>
            <w:r w:rsidRPr="00051BA4">
              <w:rPr>
                <w:lang w:val="sr-Cyrl-CS"/>
              </w:rPr>
              <w:t>Историјска и теоријска подлога образовне ефективности. Модели и методологија у области образовне ефективности и развоја школа. Утицај и релативна тежина ученичких, одељенских, школских и системских фактора који утичу на ученичко постигнуће и на разлике у постигнућу између различитих демографских група ученика. Истраживања образовне ефективности у Србији и другим земљама. Историјски преглед истраживања развоја школа. Потребни услови за побољшање школа. Фокус на институцијама и изградњи капацитета. Одрживост и скалирање. Импликације истраживања образовне ефективности и развоја школа на образовну политику.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b/>
                <w:lang w:val="en-US"/>
              </w:rPr>
            </w:pPr>
            <w:r w:rsidRPr="00051BA4">
              <w:rPr>
                <w:b/>
                <w:lang w:val="sr-Cyrl-CS"/>
              </w:rPr>
              <w:t>Литература</w:t>
            </w:r>
          </w:p>
          <w:p w:rsidR="00653219" w:rsidRPr="00051BA4" w:rsidRDefault="00653219" w:rsidP="00653219">
            <w:pPr>
              <w:numPr>
                <w:ilvl w:val="0"/>
                <w:numId w:val="18"/>
              </w:numPr>
              <w:ind w:left="523" w:right="-45" w:hanging="425"/>
              <w:jc w:val="both"/>
            </w:pPr>
            <w:r w:rsidRPr="00051BA4">
              <w:t xml:space="preserve">Barber, M. (2009). From system effectiveness to system improvement, in Hargreaves, A. &amp; Fullan, M. (Eds.), </w:t>
            </w:r>
            <w:r w:rsidRPr="00051BA4">
              <w:rPr>
                <w:i/>
              </w:rPr>
              <w:t>Change Wars</w:t>
            </w:r>
            <w:r w:rsidRPr="00051BA4">
              <w:t>. Bloomington, IN: Solution Tree.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bCs/>
                <w:sz w:val="20"/>
                <w:szCs w:val="20"/>
              </w:rPr>
            </w:pPr>
            <w:r w:rsidRPr="00051BA4">
              <w:rPr>
                <w:bCs/>
                <w:sz w:val="20"/>
                <w:szCs w:val="20"/>
                <w:lang w:eastAsia="sr-Latn-CS"/>
              </w:rPr>
              <w:t>B</w:t>
            </w:r>
            <w:r w:rsidRPr="00051BA4">
              <w:rPr>
                <w:bCs/>
                <w:sz w:val="20"/>
                <w:szCs w:val="20"/>
              </w:rPr>
              <w:t xml:space="preserve">rown, H., Chudowsky, N., Koenig, J (Eds.) (2008). </w:t>
            </w:r>
            <w:r w:rsidRPr="00051BA4">
              <w:rPr>
                <w:bCs/>
                <w:i/>
                <w:sz w:val="20"/>
                <w:szCs w:val="20"/>
              </w:rPr>
              <w:t>Getting value out of value-added: Report of a workshop</w:t>
            </w:r>
            <w:r w:rsidRPr="00051BA4">
              <w:rPr>
                <w:bCs/>
                <w:sz w:val="20"/>
                <w:szCs w:val="20"/>
              </w:rPr>
              <w:t>.</w:t>
            </w:r>
            <w:r w:rsidRPr="00051BA4">
              <w:rPr>
                <w:sz w:val="20"/>
                <w:szCs w:val="20"/>
              </w:rPr>
              <w:t xml:space="preserve"> Committee on Value-Added Methodology for Instructional Improvement, Program Evaluation, and Accountability; National Research Council.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Creemers, B.P.M., Kyriakides, L. (2008). </w:t>
            </w:r>
            <w:r w:rsidRPr="00051BA4">
              <w:rPr>
                <w:i/>
                <w:sz w:val="20"/>
                <w:szCs w:val="20"/>
              </w:rPr>
              <w:t>The dynamics of educational effectiveness: A contribution to policy, practice and theory in contemporary schools</w:t>
            </w:r>
            <w:r w:rsidRPr="00051BA4">
              <w:rPr>
                <w:sz w:val="20"/>
                <w:szCs w:val="20"/>
              </w:rPr>
              <w:t>. Abingdon: Routledge.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Fullan, M. (2007). </w:t>
            </w:r>
            <w:r w:rsidRPr="00051BA4">
              <w:rPr>
                <w:i/>
                <w:sz w:val="20"/>
                <w:szCs w:val="20"/>
              </w:rPr>
              <w:t>The new meaning of educational change</w:t>
            </w:r>
            <w:r w:rsidRPr="00051BA4">
              <w:rPr>
                <w:sz w:val="20"/>
                <w:szCs w:val="20"/>
              </w:rPr>
              <w:t>. New York: Teachers College Press.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>Hargreaves, A. et al. (2010). Second international handbook of educational change. Springer Dordrecht: Heidleberg, London, New York.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>Hopkins, D. (2001). School improvement for real. London-New York: Routledge-Falmer.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Muijs, D., Reynolds, D. (2000). School effectiveness and teacher effectiveness in mathematics: Some preliminary findings from the evaluation of the Mathematics Enhancement Programme (Primary). </w:t>
            </w:r>
            <w:r w:rsidRPr="00051BA4">
              <w:rPr>
                <w:i/>
                <w:iCs/>
                <w:sz w:val="20"/>
                <w:szCs w:val="20"/>
              </w:rPr>
              <w:t>School Effectiveness and School Improvement, 11(3),</w:t>
            </w:r>
            <w:r w:rsidRPr="00051BA4">
              <w:rPr>
                <w:sz w:val="20"/>
                <w:szCs w:val="20"/>
              </w:rPr>
              <w:t xml:space="preserve"> 273-303.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Muijs, D., Reynolds, D. (2010). </w:t>
            </w:r>
            <w:r w:rsidRPr="00051BA4">
              <w:rPr>
                <w:i/>
                <w:sz w:val="20"/>
                <w:szCs w:val="20"/>
              </w:rPr>
              <w:t>Effective teaching: Research and practice</w:t>
            </w:r>
            <w:r w:rsidRPr="00051BA4">
              <w:rPr>
                <w:sz w:val="20"/>
                <w:szCs w:val="20"/>
              </w:rPr>
              <w:t>. London: Paul Chapman.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Opdenakker, M., Van Damme, J., De Fraine, B., Van Langedhem, G., Onghena, P. (2002). The effect of schools and classes on mathematics achievement. </w:t>
            </w:r>
            <w:r w:rsidRPr="00051BA4">
              <w:rPr>
                <w:i/>
                <w:iCs/>
                <w:sz w:val="20"/>
                <w:szCs w:val="20"/>
              </w:rPr>
              <w:t>School Effectiveness and School Improvement,13(4),</w:t>
            </w:r>
            <w:r w:rsidRPr="00051BA4">
              <w:rPr>
                <w:sz w:val="20"/>
                <w:szCs w:val="20"/>
              </w:rPr>
              <w:t xml:space="preserve"> 399-427.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OECD. (2009). PISA </w:t>
            </w:r>
            <w:r w:rsidRPr="00051BA4">
              <w:rPr>
                <w:i/>
                <w:sz w:val="20"/>
                <w:szCs w:val="20"/>
              </w:rPr>
              <w:t>2009 Results: What makes a school successful? Resources, policies and practices. Volume 4</w:t>
            </w:r>
            <w:r w:rsidRPr="00051BA4">
              <w:rPr>
                <w:sz w:val="20"/>
                <w:szCs w:val="20"/>
              </w:rPr>
              <w:t>. Paris: OECD.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Strand, S. (2010). Do some schools narrow the gap? Differential school effectiveness by ethnicity, gender, poverty, and prior achievement. </w:t>
            </w:r>
            <w:r w:rsidRPr="00051BA4">
              <w:rPr>
                <w:i/>
                <w:sz w:val="20"/>
                <w:szCs w:val="20"/>
              </w:rPr>
              <w:t>School Effectiveness and School Improvement, 21</w:t>
            </w:r>
            <w:r w:rsidRPr="00051BA4">
              <w:rPr>
                <w:sz w:val="20"/>
                <w:szCs w:val="20"/>
              </w:rPr>
              <w:t>, 289-314.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Teodorovic, J. (In press). Student background factors influencing student achievement in Serbia. </w:t>
            </w:r>
            <w:r w:rsidRPr="00051BA4">
              <w:rPr>
                <w:i/>
                <w:sz w:val="20"/>
                <w:szCs w:val="20"/>
              </w:rPr>
              <w:t>Educational Studies</w:t>
            </w:r>
            <w:r w:rsidRPr="00051BA4">
              <w:rPr>
                <w:sz w:val="20"/>
                <w:szCs w:val="20"/>
              </w:rPr>
              <w:t>.</w:t>
            </w:r>
          </w:p>
          <w:p w:rsidR="00653219" w:rsidRPr="00447EFD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Teodorovic, J. (In press). Classroom and school factors related to student achievement - What works for students? </w:t>
            </w:r>
            <w:r w:rsidRPr="00051BA4">
              <w:rPr>
                <w:i/>
                <w:sz w:val="20"/>
                <w:szCs w:val="20"/>
              </w:rPr>
              <w:t xml:space="preserve">School </w:t>
            </w:r>
            <w:r w:rsidRPr="00447EFD">
              <w:rPr>
                <w:i/>
                <w:sz w:val="20"/>
                <w:szCs w:val="20"/>
              </w:rPr>
              <w:t>Effectiveness and School Improvement</w:t>
            </w:r>
            <w:r w:rsidRPr="00447EFD">
              <w:rPr>
                <w:sz w:val="20"/>
                <w:szCs w:val="20"/>
              </w:rPr>
              <w:t>.</w:t>
            </w:r>
          </w:p>
          <w:p w:rsidR="00653219" w:rsidRPr="00447EFD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447EFD">
              <w:rPr>
                <w:sz w:val="20"/>
                <w:szCs w:val="20"/>
              </w:rPr>
              <w:t xml:space="preserve">Thrupp, M. (2001). Sociological and political concerns about school effectiveness research: Time for a new research agenda. </w:t>
            </w:r>
            <w:r w:rsidRPr="00447EFD">
              <w:rPr>
                <w:i/>
                <w:iCs/>
                <w:sz w:val="20"/>
                <w:szCs w:val="20"/>
              </w:rPr>
              <w:t>School Effectiveness and School Improvement, 12(1),</w:t>
            </w:r>
            <w:r w:rsidRPr="00447EFD">
              <w:rPr>
                <w:sz w:val="20"/>
                <w:szCs w:val="20"/>
              </w:rPr>
              <w:t xml:space="preserve"> 7-40.</w:t>
            </w:r>
          </w:p>
        </w:tc>
      </w:tr>
      <w:tr w:rsidR="00653219" w:rsidRPr="00051BA4" w:rsidTr="00775DE7">
        <w:trPr>
          <w:trHeight w:val="196"/>
          <w:jc w:val="center"/>
        </w:trPr>
        <w:tc>
          <w:tcPr>
            <w:tcW w:w="9028" w:type="dxa"/>
            <w:gridSpan w:val="5"/>
          </w:tcPr>
          <w:p w:rsidR="00653219" w:rsidRPr="00051BA4" w:rsidRDefault="00653219" w:rsidP="00775DE7">
            <w:pPr>
              <w:ind w:right="-84"/>
              <w:rPr>
                <w:b/>
                <w:bCs/>
                <w:lang w:val="en-US"/>
              </w:rPr>
            </w:pPr>
            <w:r w:rsidRPr="00051BA4">
              <w:rPr>
                <w:b/>
                <w:bCs/>
                <w:lang w:val="sr-Cyrl-CS"/>
              </w:rPr>
              <w:t xml:space="preserve">Број часова </w:t>
            </w:r>
            <w:r w:rsidRPr="00051BA4"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1872" w:type="dxa"/>
            <w:vMerge w:val="restart"/>
          </w:tcPr>
          <w:p w:rsidR="00653219" w:rsidRPr="00C535F1" w:rsidRDefault="00653219" w:rsidP="00775DE7">
            <w:pPr>
              <w:ind w:right="-84"/>
              <w:rPr>
                <w:bCs/>
                <w:lang w:val="sr-Cyrl-RS"/>
              </w:rPr>
            </w:pPr>
            <w:r w:rsidRPr="00C535F1">
              <w:rPr>
                <w:bCs/>
                <w:lang w:val="sr-Cyrl-RS"/>
              </w:rPr>
              <w:t>Остали часови</w:t>
            </w:r>
          </w:p>
        </w:tc>
      </w:tr>
      <w:tr w:rsidR="00653219" w:rsidRPr="00051BA4" w:rsidTr="00775DE7">
        <w:trPr>
          <w:trHeight w:val="384"/>
          <w:jc w:val="center"/>
        </w:trPr>
        <w:tc>
          <w:tcPr>
            <w:tcW w:w="2616" w:type="dxa"/>
          </w:tcPr>
          <w:p w:rsidR="00653219" w:rsidRPr="00C535F1" w:rsidRDefault="00653219" w:rsidP="00775DE7">
            <w:pPr>
              <w:ind w:right="-84"/>
              <w:rPr>
                <w:bCs/>
                <w:lang w:val="sr-Cyrl-RS"/>
              </w:rPr>
            </w:pPr>
            <w:r w:rsidRPr="00051BA4">
              <w:rPr>
                <w:bCs/>
                <w:lang w:val="en-US"/>
              </w:rPr>
              <w:t>Предавања:</w:t>
            </w:r>
            <w:r w:rsidRPr="00051BA4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30</w:t>
            </w:r>
          </w:p>
        </w:tc>
        <w:tc>
          <w:tcPr>
            <w:tcW w:w="1134" w:type="dxa"/>
          </w:tcPr>
          <w:p w:rsidR="00653219" w:rsidRPr="00C535F1" w:rsidRDefault="00653219" w:rsidP="00775DE7">
            <w:pPr>
              <w:ind w:right="-84"/>
              <w:rPr>
                <w:bCs/>
                <w:lang w:val="sr-Cyrl-RS"/>
              </w:rPr>
            </w:pPr>
            <w:r w:rsidRPr="00051BA4">
              <w:rPr>
                <w:bCs/>
                <w:lang w:val="en-US"/>
              </w:rPr>
              <w:t>Вежбе:</w:t>
            </w:r>
            <w:r w:rsidRPr="00051BA4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30</w:t>
            </w:r>
          </w:p>
        </w:tc>
        <w:tc>
          <w:tcPr>
            <w:tcW w:w="2126" w:type="dxa"/>
          </w:tcPr>
          <w:p w:rsidR="00653219" w:rsidRPr="00051BA4" w:rsidRDefault="00653219" w:rsidP="00775DE7">
            <w:pPr>
              <w:ind w:right="-84"/>
              <w:rPr>
                <w:bCs/>
                <w:lang w:val="en-US"/>
              </w:rPr>
            </w:pPr>
            <w:r w:rsidRPr="00051BA4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152" w:type="dxa"/>
            <w:gridSpan w:val="2"/>
          </w:tcPr>
          <w:p w:rsidR="00653219" w:rsidRPr="00C535F1" w:rsidRDefault="00653219" w:rsidP="00775DE7">
            <w:pPr>
              <w:ind w:right="-84"/>
              <w:rPr>
                <w:bCs/>
                <w:lang w:val="sr-Cyrl-RS"/>
              </w:rPr>
            </w:pPr>
            <w:r w:rsidRPr="00051BA4">
              <w:rPr>
                <w:bCs/>
                <w:lang w:val="en-US"/>
              </w:rPr>
              <w:t>Студијски истраживач</w:t>
            </w:r>
            <w:r>
              <w:rPr>
                <w:bCs/>
                <w:lang w:val="sr-Cyrl-RS"/>
              </w:rPr>
              <w:t>ки</w:t>
            </w:r>
            <w:r w:rsidRPr="00051BA4">
              <w:rPr>
                <w:bCs/>
                <w:lang w:val="sr-Cyrl-CS"/>
              </w:rPr>
              <w:t>.</w:t>
            </w:r>
            <w:r w:rsidRPr="00051BA4">
              <w:rPr>
                <w:bCs/>
                <w:lang w:val="en-US"/>
              </w:rPr>
              <w:t xml:space="preserve"> рад: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1872" w:type="dxa"/>
            <w:vMerge/>
          </w:tcPr>
          <w:p w:rsidR="00653219" w:rsidRPr="00051BA4" w:rsidRDefault="00653219" w:rsidP="00775DE7">
            <w:pPr>
              <w:ind w:right="-84"/>
              <w:rPr>
                <w:bCs/>
                <w:lang w:val="en-US"/>
              </w:rPr>
            </w:pP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Default="00653219" w:rsidP="00775DE7">
            <w:pPr>
              <w:ind w:right="-84"/>
              <w:rPr>
                <w:b/>
                <w:bCs/>
                <w:lang w:val="sr-Cyrl-RS"/>
              </w:rPr>
            </w:pPr>
            <w:r w:rsidRPr="00051BA4">
              <w:rPr>
                <w:b/>
                <w:bCs/>
                <w:lang w:val="sr-Cyrl-CS"/>
              </w:rPr>
              <w:t>Методе извођења наставе</w:t>
            </w:r>
          </w:p>
          <w:p w:rsidR="00653219" w:rsidRPr="00051BA4" w:rsidRDefault="00653219" w:rsidP="00775DE7">
            <w:pPr>
              <w:ind w:right="-84"/>
              <w:rPr>
                <w:lang w:val="sr-Cyrl-CS"/>
              </w:rPr>
            </w:pPr>
            <w:r w:rsidRPr="00051BA4">
              <w:rPr>
                <w:color w:val="000000"/>
              </w:rPr>
              <w:t xml:space="preserve">Предавањa, дискусије, </w:t>
            </w:r>
            <w:r w:rsidRPr="00051BA4">
              <w:rPr>
                <w:color w:val="000000"/>
                <w:lang w:val="sr-Cyrl-CS"/>
              </w:rPr>
              <w:t>групни рад.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jc w:val="center"/>
              <w:rPr>
                <w:b/>
                <w:bCs/>
                <w:lang w:val="ru-RU"/>
              </w:rPr>
            </w:pPr>
            <w:r w:rsidRPr="00051BA4">
              <w:rPr>
                <w:b/>
                <w:bCs/>
                <w:lang w:val="sr-Cyrl-CS"/>
              </w:rPr>
              <w:t>Оцена знања (максимални број поена 100)</w:t>
            </w:r>
          </w:p>
        </w:tc>
      </w:tr>
      <w:tr w:rsidR="00653219" w:rsidRPr="00051BA4" w:rsidTr="00775DE7">
        <w:trPr>
          <w:jc w:val="center"/>
        </w:trPr>
        <w:tc>
          <w:tcPr>
            <w:tcW w:w="2616" w:type="dxa"/>
          </w:tcPr>
          <w:p w:rsidR="00653219" w:rsidRPr="00051BA4" w:rsidRDefault="00653219" w:rsidP="00775DE7">
            <w:pPr>
              <w:ind w:right="-84"/>
              <w:rPr>
                <w:lang w:val="sr-Cyrl-CS"/>
              </w:rPr>
            </w:pPr>
            <w:r w:rsidRPr="00051BA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3260" w:type="dxa"/>
            <w:gridSpan w:val="2"/>
          </w:tcPr>
          <w:p w:rsidR="00653219" w:rsidRPr="00415A5C" w:rsidRDefault="00653219" w:rsidP="00775DE7">
            <w:pPr>
              <w:ind w:right="-84"/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en-US"/>
              </w:rPr>
              <w:t>оена</w:t>
            </w:r>
          </w:p>
        </w:tc>
        <w:tc>
          <w:tcPr>
            <w:tcW w:w="2751" w:type="dxa"/>
            <w:shd w:val="clear" w:color="auto" w:fill="auto"/>
          </w:tcPr>
          <w:p w:rsidR="00653219" w:rsidRPr="00787D9B" w:rsidRDefault="00653219" w:rsidP="00775DE7">
            <w:pPr>
              <w:tabs>
                <w:tab w:val="left" w:pos="2070"/>
              </w:tabs>
              <w:ind w:right="-84"/>
              <w:rPr>
                <w:lang w:val="sr-Cyrl-CS"/>
              </w:rPr>
            </w:pPr>
            <w:r w:rsidRPr="00787D9B">
              <w:rPr>
                <w:lang w:val="en-US"/>
              </w:rPr>
              <w:t>Завршни испит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653219" w:rsidRPr="00415A5C" w:rsidRDefault="00653219" w:rsidP="00775DE7">
            <w:pPr>
              <w:ind w:right="-84"/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653219" w:rsidRPr="00051BA4" w:rsidTr="00775DE7">
        <w:trPr>
          <w:jc w:val="center"/>
        </w:trPr>
        <w:tc>
          <w:tcPr>
            <w:tcW w:w="2616" w:type="dxa"/>
          </w:tcPr>
          <w:p w:rsidR="00653219" w:rsidRPr="00051BA4" w:rsidRDefault="00653219" w:rsidP="00775DE7">
            <w:pPr>
              <w:ind w:right="-84"/>
              <w:rPr>
                <w:i/>
                <w:iCs/>
                <w:lang w:val="sr-Cyrl-CS"/>
              </w:rPr>
            </w:pPr>
            <w:r w:rsidRPr="00051BA4">
              <w:rPr>
                <w:lang w:val="sr-Cyrl-CS"/>
              </w:rPr>
              <w:t>активност у току предавања</w:t>
            </w:r>
          </w:p>
        </w:tc>
        <w:tc>
          <w:tcPr>
            <w:tcW w:w="3260" w:type="dxa"/>
            <w:gridSpan w:val="2"/>
          </w:tcPr>
          <w:p w:rsidR="00653219" w:rsidRPr="00051BA4" w:rsidRDefault="00653219" w:rsidP="00775DE7">
            <w:pPr>
              <w:ind w:right="-84"/>
              <w:rPr>
                <w:bCs/>
                <w:lang w:val="sr-Cyrl-CS"/>
              </w:rPr>
            </w:pPr>
            <w:r w:rsidRPr="00051BA4">
              <w:rPr>
                <w:bCs/>
                <w:lang w:val="sr-Cyrl-CS"/>
              </w:rPr>
              <w:t>15</w:t>
            </w:r>
          </w:p>
        </w:tc>
        <w:tc>
          <w:tcPr>
            <w:tcW w:w="2751" w:type="dxa"/>
            <w:shd w:val="clear" w:color="auto" w:fill="auto"/>
          </w:tcPr>
          <w:p w:rsidR="00653219" w:rsidRPr="00051BA4" w:rsidRDefault="00653219" w:rsidP="00775DE7">
            <w:pPr>
              <w:ind w:right="-84"/>
              <w:rPr>
                <w:i/>
                <w:iCs/>
                <w:lang w:val="sr-Cyrl-CS"/>
              </w:rPr>
            </w:pPr>
            <w:r w:rsidRPr="00051BA4">
              <w:rPr>
                <w:lang w:val="sr-Cyrl-CS"/>
              </w:rPr>
              <w:t>писмени испит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653219" w:rsidRPr="00051BA4" w:rsidRDefault="00653219" w:rsidP="00775DE7">
            <w:pPr>
              <w:ind w:right="-84"/>
              <w:rPr>
                <w:iCs/>
                <w:lang w:val="sr-Cyrl-CS"/>
              </w:rPr>
            </w:pPr>
            <w:r w:rsidRPr="00051BA4">
              <w:rPr>
                <w:iCs/>
                <w:lang w:val="sr-Cyrl-CS"/>
              </w:rPr>
              <w:t>40</w:t>
            </w:r>
          </w:p>
        </w:tc>
      </w:tr>
      <w:tr w:rsidR="00653219" w:rsidRPr="00051BA4" w:rsidTr="00775DE7">
        <w:trPr>
          <w:jc w:val="center"/>
        </w:trPr>
        <w:tc>
          <w:tcPr>
            <w:tcW w:w="2616" w:type="dxa"/>
          </w:tcPr>
          <w:p w:rsidR="00653219" w:rsidRPr="00051BA4" w:rsidRDefault="00653219" w:rsidP="00775DE7">
            <w:pPr>
              <w:ind w:right="-84"/>
              <w:rPr>
                <w:i/>
                <w:iCs/>
                <w:lang w:val="sr-Cyrl-CS"/>
              </w:rPr>
            </w:pPr>
            <w:r w:rsidRPr="00051BA4">
              <w:rPr>
                <w:lang w:val="sr-Cyrl-CS"/>
              </w:rPr>
              <w:t>колоквијум</w:t>
            </w:r>
          </w:p>
        </w:tc>
        <w:tc>
          <w:tcPr>
            <w:tcW w:w="3260" w:type="dxa"/>
            <w:gridSpan w:val="2"/>
          </w:tcPr>
          <w:p w:rsidR="00653219" w:rsidRPr="00051BA4" w:rsidRDefault="00653219" w:rsidP="00775DE7">
            <w:pPr>
              <w:ind w:right="-84"/>
              <w:rPr>
                <w:bCs/>
                <w:lang w:val="sr-Cyrl-CS"/>
              </w:rPr>
            </w:pPr>
            <w:r w:rsidRPr="00051BA4">
              <w:rPr>
                <w:bCs/>
                <w:lang w:val="sr-Cyrl-CS"/>
              </w:rPr>
              <w:t>35</w:t>
            </w:r>
          </w:p>
        </w:tc>
        <w:tc>
          <w:tcPr>
            <w:tcW w:w="2751" w:type="dxa"/>
            <w:shd w:val="clear" w:color="auto" w:fill="auto"/>
          </w:tcPr>
          <w:p w:rsidR="00653219" w:rsidRPr="00051BA4" w:rsidRDefault="00653219" w:rsidP="00775DE7">
            <w:pPr>
              <w:ind w:right="-84"/>
              <w:rPr>
                <w:iCs/>
                <w:lang w:val="sr-Cyrl-CS"/>
              </w:rPr>
            </w:pPr>
            <w:r w:rsidRPr="00051BA4">
              <w:rPr>
                <w:iCs/>
                <w:lang w:val="sr-Cyrl-CS"/>
              </w:rPr>
              <w:t>одбрана писменог испита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653219" w:rsidRPr="00051BA4" w:rsidRDefault="00653219" w:rsidP="00775DE7">
            <w:pPr>
              <w:ind w:right="-84"/>
              <w:rPr>
                <w:iCs/>
                <w:lang w:val="sr-Cyrl-CS"/>
              </w:rPr>
            </w:pPr>
            <w:r w:rsidRPr="00051BA4">
              <w:rPr>
                <w:iCs/>
                <w:lang w:val="sr-Cyrl-CS"/>
              </w:rPr>
              <w:t>10</w:t>
            </w: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7"/>
  </w:num>
  <w:num w:numId="5">
    <w:abstractNumId w:val="14"/>
  </w:num>
  <w:num w:numId="6">
    <w:abstractNumId w:val="2"/>
  </w:num>
  <w:num w:numId="7">
    <w:abstractNumId w:val="15"/>
  </w:num>
  <w:num w:numId="8">
    <w:abstractNumId w:val="3"/>
  </w:num>
  <w:num w:numId="9">
    <w:abstractNumId w:val="0"/>
  </w:num>
  <w:num w:numId="10">
    <w:abstractNumId w:val="13"/>
  </w:num>
  <w:num w:numId="11">
    <w:abstractNumId w:val="16"/>
  </w:num>
  <w:num w:numId="12">
    <w:abstractNumId w:val="6"/>
  </w:num>
  <w:num w:numId="13">
    <w:abstractNumId w:val="10"/>
  </w:num>
  <w:num w:numId="14">
    <w:abstractNumId w:val="4"/>
  </w:num>
  <w:num w:numId="15">
    <w:abstractNumId w:val="7"/>
  </w:num>
  <w:num w:numId="16">
    <w:abstractNumId w:val="5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653219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2013-09-24T10:14:00Z</dcterms:created>
  <dcterms:modified xsi:type="dcterms:W3CDTF">2013-09-24T10:14:00Z</dcterms:modified>
</cp:coreProperties>
</file>